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67F7">
      <w:pPr>
        <w:rPr>
          <w:rFonts w:eastAsia="Times New Roman"/>
        </w:rPr>
      </w:pPr>
      <w:r>
        <w:rPr>
          <w:rFonts w:eastAsia="Times New Roman"/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000000" w:rsidRDefault="00D367F7">
      <w:pPr>
        <w:pStyle w:val="2"/>
        <w:rPr>
          <w:rFonts w:eastAsia="Times New Roman"/>
        </w:rPr>
      </w:pPr>
      <w:r>
        <w:rPr>
          <w:rFonts w:eastAsia="Times New Roman"/>
        </w:rPr>
        <w:t>Письмо ФТС России</w:t>
      </w:r>
      <w:r>
        <w:rPr>
          <w:rFonts w:eastAsia="Times New Roman"/>
        </w:rPr>
        <w:br/>
        <w:t>Министерства финансов Российской Федерации</w:t>
      </w:r>
      <w:r>
        <w:rPr>
          <w:rFonts w:eastAsia="Times New Roman"/>
        </w:rPr>
        <w:br/>
        <w:t>от 31 марта 2020 г. N 14-87/M-2422</w:t>
      </w:r>
      <w:r>
        <w:rPr>
          <w:rFonts w:eastAsia="Times New Roman"/>
        </w:rPr>
        <w:br/>
        <w:t>"О рассмотрении обращения"</w:t>
      </w:r>
    </w:p>
    <w:p w:rsidR="00000000" w:rsidRDefault="00D367F7">
      <w:pPr>
        <w:jc w:val="center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D367F7">
      <w:pPr>
        <w:pStyle w:val="a5"/>
        <w:jc w:val="both"/>
      </w:pPr>
      <w:r>
        <w:t>Вопрос:</w:t>
      </w:r>
    </w:p>
    <w:p w:rsidR="00000000" w:rsidRDefault="00D367F7">
      <w:pPr>
        <w:pStyle w:val="a5"/>
        <w:jc w:val="both"/>
      </w:pPr>
      <w:r>
        <w:t>Порядок ввоза и госрегистрации агрохимикатов и пестицидов.</w:t>
      </w:r>
    </w:p>
    <w:p w:rsidR="00000000" w:rsidRDefault="00D367F7">
      <w:pPr>
        <w:pStyle w:val="a5"/>
        <w:jc w:val="both"/>
      </w:pPr>
      <w:r>
        <w:t> </w:t>
      </w:r>
    </w:p>
    <w:p w:rsidR="00000000" w:rsidRDefault="00D367F7">
      <w:pPr>
        <w:pStyle w:val="a5"/>
        <w:jc w:val="both"/>
      </w:pPr>
      <w:r>
        <w:t>Ответ:</w:t>
      </w:r>
    </w:p>
    <w:p w:rsidR="00000000" w:rsidRDefault="00D367F7">
      <w:pPr>
        <w:pStyle w:val="a5"/>
        <w:jc w:val="both"/>
      </w:pPr>
      <w:r>
        <w:t>Управление торговых ограничений, валютного и</w:t>
      </w:r>
      <w:r>
        <w:t xml:space="preserve"> экспортного контроля ФТС России, рассмотрев Ваше обращение, поступившее по электронным каналам связи, сообщает следующее.</w:t>
      </w:r>
    </w:p>
    <w:p w:rsidR="00000000" w:rsidRDefault="00D367F7">
      <w:pPr>
        <w:pStyle w:val="a5"/>
        <w:jc w:val="both"/>
      </w:pPr>
      <w:r>
        <w:t>Информация по вопросу ввоза в Российскую Федерацию и государственной регистрации агрохимикатов направлена в Ваш адрес письмом ФТС Рос</w:t>
      </w:r>
      <w:r>
        <w:t xml:space="preserve">сии от </w:t>
      </w:r>
      <w:hyperlink r:id="rId4" w:tooltip="Письмо 14-56/М-1556 от 10.03.2020 ФТС России&#13;&#10;&#13;&#10;Об госрегистрации ввозимых агрохимикатов" w:history="1">
        <w:r>
          <w:rPr>
            <w:rStyle w:val="a3"/>
          </w:rPr>
          <w:t>10 марта 2020 г. N 14-56/М-1556</w:t>
        </w:r>
      </w:hyperlink>
      <w:r>
        <w:t>.</w:t>
      </w:r>
    </w:p>
    <w:p w:rsidR="00000000" w:rsidRDefault="00D367F7">
      <w:pPr>
        <w:pStyle w:val="a5"/>
        <w:jc w:val="both"/>
      </w:pPr>
      <w:r>
        <w:t>Дополнительно информируем, что представление таможенным органам регистрационного свидете</w:t>
      </w:r>
      <w:r>
        <w:t>льства о государственной регистрации и свидетельства о государственной регистрации в целях перемещения пестицидов и (или) агрохимикатов в соответствии с правом ЕАЭС, таможенным органам не требуется.</w:t>
      </w:r>
    </w:p>
    <w:p w:rsidR="00000000" w:rsidRDefault="00D367F7">
      <w:pPr>
        <w:pStyle w:val="a5"/>
        <w:jc w:val="both"/>
      </w:pPr>
      <w:r>
        <w:t>По вопросу оформления и (или) выдачи свидетельства о госу</w:t>
      </w:r>
      <w:r>
        <w:t>дарственной регистрации, сообщаем следующее.</w:t>
      </w:r>
    </w:p>
    <w:p w:rsidR="00000000" w:rsidRDefault="00D367F7">
      <w:pPr>
        <w:pStyle w:val="a5"/>
        <w:jc w:val="both"/>
      </w:pPr>
      <w:r>
        <w:t>Процедура осуществления государственного санитарно-эпидемиологического надзора (контроля) на таможенной границе Евразийского экономического союза и таможенной территории Евразийского экономического союза, а такж</w:t>
      </w:r>
      <w:r>
        <w:t>е 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(далее - Единый перечень) утверждены Решением Комиссии Тамож</w:t>
      </w:r>
      <w:r>
        <w:t xml:space="preserve">енного союза от </w:t>
      </w:r>
      <w:hyperlink r:id="rId5" w:tooltip="Решение 299 от 28.05.2010 КТС&#13;&#10;&#13;&#10;О санитарно-эпидемиологическом контроле в ТС" w:history="1">
        <w:r>
          <w:rPr>
            <w:rStyle w:val="a3"/>
          </w:rPr>
          <w:t>28 мая 2010 г. N 299</w:t>
        </w:r>
      </w:hyperlink>
      <w:r>
        <w:t xml:space="preserve"> "О применении санитарных мер в Евразийском экономическом союзе" (далее - Решение N 299).</w:t>
      </w:r>
    </w:p>
    <w:p w:rsidR="00000000" w:rsidRDefault="00D367F7">
      <w:pPr>
        <w:pStyle w:val="a5"/>
        <w:jc w:val="both"/>
      </w:pPr>
      <w:r>
        <w:t>В соответстви</w:t>
      </w:r>
      <w:r>
        <w:t xml:space="preserve">и с пунктом 17 </w:t>
      </w:r>
      <w:hyperlink r:id="rId6" w:tooltip="Решение 299 от 28.05.2010 КТС&#13;&#10;&#13;&#10;О санитарно-эпидемиологическом контроле в ТС" w:history="1">
        <w:r>
          <w:rPr>
            <w:rStyle w:val="a3"/>
          </w:rPr>
          <w:t>Решения</w:t>
        </w:r>
      </w:hyperlink>
      <w:r>
        <w:t xml:space="preserve"> N 299 ввоз подконтрольных товаров, подлежащих государственной регистрации, на таможенную территорию Евразийского эко</w:t>
      </w:r>
      <w:r>
        <w:t>номического союза осуществляется при наличии такой регистрации.</w:t>
      </w:r>
    </w:p>
    <w:p w:rsidR="00000000" w:rsidRDefault="00D367F7">
      <w:pPr>
        <w:pStyle w:val="a5"/>
        <w:jc w:val="both"/>
      </w:pPr>
      <w:r>
        <w:t xml:space="preserve">Разрешительным документом, подтверждающим безопасность продукции (товаров), в части ее соответствия санитарно-эпидемиологическим и гигиеническим требованиям в соответствии с </w:t>
      </w:r>
      <w:hyperlink r:id="rId7" w:tooltip="Решение 299 от 28.05.2010 КТС&#13;&#10;&#13;&#10;О санитарно-эпидемиологическом контроле в ТС" w:history="1">
        <w:r>
          <w:rPr>
            <w:rStyle w:val="a3"/>
          </w:rPr>
          <w:t>Решением</w:t>
        </w:r>
      </w:hyperlink>
      <w:r>
        <w:t xml:space="preserve"> N 299, является свидетельство о государственной регистрации.</w:t>
      </w:r>
    </w:p>
    <w:p w:rsidR="00000000" w:rsidRDefault="00D367F7">
      <w:pPr>
        <w:pStyle w:val="a5"/>
        <w:jc w:val="both"/>
      </w:pPr>
      <w:r>
        <w:lastRenderedPageBreak/>
        <w:t xml:space="preserve">Порядок оформления свидетельства о государственной регистрации также определен </w:t>
      </w:r>
      <w:hyperlink r:id="rId8" w:tooltip="Решение 299 от 28.05.2010 КТС&#13;&#10;&#13;&#10;О санитарно-эпидемиологическом контроле в ТС" w:history="1">
        <w:r>
          <w:rPr>
            <w:rStyle w:val="a3"/>
          </w:rPr>
          <w:t>Решением</w:t>
        </w:r>
      </w:hyperlink>
      <w:r>
        <w:t xml:space="preserve"> N 299.</w:t>
      </w:r>
    </w:p>
    <w:p w:rsidR="00000000" w:rsidRDefault="00D367F7">
      <w:pPr>
        <w:pStyle w:val="a5"/>
        <w:jc w:val="both"/>
      </w:pPr>
      <w:r>
        <w:t>Порядок осуществления санитарно-карантинного</w:t>
      </w:r>
      <w:r>
        <w:t xml:space="preserve"> контроля в пунктах пропуска через государственную границу Российской Федерации должностными лицами таможенных органов и должностными лицами Роспотребнадзора определен постановлением Правительства Российской Федерации от </w:t>
      </w:r>
      <w:hyperlink r:id="rId9" w:tooltip="Постановление 500 от 29.06.2011 Правительства РФ&#13;&#10;&#13;&#10;Правила осуществления санитарно-карантинного контроля в п/п через госграницу РФ" w:history="1">
        <w:r>
          <w:rPr>
            <w:rStyle w:val="a3"/>
          </w:rPr>
          <w:t>29 июня 2011 г. N 500</w:t>
        </w:r>
      </w:hyperlink>
      <w:r>
        <w:t xml:space="preserve"> "Об утверждении Правил осуществления санитарно-карантинного контроля в пунктах пропуска через госу</w:t>
      </w:r>
      <w:r>
        <w:t>дарственную границу Российской Федерации".</w:t>
      </w:r>
    </w:p>
    <w:p w:rsidR="00000000" w:rsidRDefault="00D367F7">
      <w:pPr>
        <w:pStyle w:val="a5"/>
        <w:jc w:val="both"/>
      </w:pPr>
      <w:r>
        <w:t>Таким образом, в пунктах пропуска через государственную границу Российской Федерации должностные лица уполномоченных органов осуществляют санитарно-карантинный контроль в отношении продукции, включенной в раздел I</w:t>
      </w:r>
      <w:r>
        <w:t xml:space="preserve">I Единого перечня, с учетом требований пунктов 17 и 19 </w:t>
      </w:r>
      <w:hyperlink r:id="rId10" w:tooltip="Решение 299 от 28.05.2010 КТС&#13;&#10;&#13;&#10;О санитарно-эпидемиологическом контроле в ТС" w:history="1">
        <w:r>
          <w:rPr>
            <w:rStyle w:val="a3"/>
          </w:rPr>
          <w:t>Решения</w:t>
        </w:r>
      </w:hyperlink>
      <w:r>
        <w:t xml:space="preserve"> N 299.</w:t>
      </w:r>
    </w:p>
    <w:p w:rsidR="00000000" w:rsidRDefault="00D367F7">
      <w:pPr>
        <w:pStyle w:val="a5"/>
        <w:jc w:val="both"/>
      </w:pPr>
      <w:r>
        <w:t>Товар, поименованный в Обращении, не включен в Раздел II Единого пере</w:t>
      </w:r>
      <w:r>
        <w:t>чня.</w:t>
      </w:r>
    </w:p>
    <w:p w:rsidR="00000000" w:rsidRDefault="00D367F7">
      <w:pPr>
        <w:pStyle w:val="a5"/>
        <w:jc w:val="both"/>
      </w:pPr>
      <w:r>
        <w:t>В соответствии с положениями постановления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контроль и надзор за исполнением</w:t>
      </w:r>
      <w:r>
        <w:t xml:space="preserve"> обязательных требований законодательства Российской Федерации в области обеспечения санитарно-эпидемиологического благополучия населения осуществляется Роспотребнадзором.</w:t>
      </w:r>
    </w:p>
    <w:p w:rsidR="00000000" w:rsidRDefault="00D367F7">
      <w:pPr>
        <w:pStyle w:val="a5"/>
        <w:jc w:val="both"/>
      </w:pPr>
      <w:r>
        <w:t>В случае необходимости получения дополнительной информации по изложенному в Обращении вопросу, рекомендуем обратиться в Роспотребнадзор.</w:t>
      </w:r>
    </w:p>
    <w:p w:rsidR="00D367F7" w:rsidRDefault="00D367F7">
      <w:pPr>
        <w:jc w:val="right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  <w:t>Начальник Управления</w:t>
      </w:r>
      <w:r>
        <w:rPr>
          <w:rFonts w:eastAsia="Times New Roman"/>
        </w:rPr>
        <w:br/>
        <w:t>торговых ограничений,</w:t>
      </w:r>
      <w:r>
        <w:rPr>
          <w:rFonts w:eastAsia="Times New Roman"/>
        </w:rPr>
        <w:br/>
        <w:t>валютного и экспортного контроля</w:t>
      </w:r>
      <w:r>
        <w:rPr>
          <w:rFonts w:eastAsia="Times New Roman"/>
        </w:rPr>
        <w:br/>
        <w:t xml:space="preserve">С.В.Шкляев </w:t>
      </w:r>
    </w:p>
    <w:sectPr w:rsidR="00D3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F"/>
    <w:rsid w:val="00D367F7"/>
    <w:rsid w:val="00D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2F98-D784-1747-9D4F-9EB1B30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content-new">
    <w:name w:val="content-new"/>
    <w:basedOn w:val="a"/>
    <w:pPr>
      <w:pBdr>
        <w:left w:val="single" w:sz="12" w:space="4" w:color="81A0C3"/>
      </w:pBdr>
      <w:spacing w:before="100" w:beforeAutospacing="1" w:after="100" w:afterAutospacing="1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tamdoc/10sr02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/tamdoc/10sr029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/tamdoc/10sr0299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/tamdoc/10sr0299/" TargetMode="External"/><Relationship Id="rId10" Type="http://schemas.openxmlformats.org/officeDocument/2006/relationships/hyperlink" Target="file:////tamdoc/10sr0299/" TargetMode="External"/><Relationship Id="rId4" Type="http://schemas.openxmlformats.org/officeDocument/2006/relationships/hyperlink" Target="file:////tamdoc/20p01556/" TargetMode="External"/><Relationship Id="rId9" Type="http://schemas.openxmlformats.org/officeDocument/2006/relationships/hyperlink" Target="file:////tamdoc/11ps0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ФТС России от 31.03.2020 № 14-87/M-2422 . Таможенные документы :: Альта-Софт</dc:title>
  <dc:subject/>
  <dc:creator>Gorbachev Sergey</dc:creator>
  <cp:keywords/>
  <dc:description/>
  <cp:lastModifiedBy>Gorbachev Sergey</cp:lastModifiedBy>
  <cp:revision>2</cp:revision>
  <dcterms:created xsi:type="dcterms:W3CDTF">2020-04-02T06:18:00Z</dcterms:created>
  <dcterms:modified xsi:type="dcterms:W3CDTF">2020-04-02T06:18:00Z</dcterms:modified>
</cp:coreProperties>
</file>